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fldSimple w:instr=" DOCPROPERTY  Tdoc#  \* MERGEFORMAT ">
        <w:r w:rsidR="00E13F3D" w:rsidRPr="00E13F3D">
          <w:rPr>
            <w:b/>
            <w:i/>
            <w:noProof/>
            <w:sz w:val="28"/>
          </w:rPr>
          <w:t>S2-2410515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5110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E5EB26" w:rsidR="00F25D98" w:rsidRDefault="008F2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 xml:space="preserve">BDT Energy Negotiation Procedures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Motorola Mobile Com Technology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EnergyServ</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F244A" w14:paraId="1256F52C" w14:textId="77777777" w:rsidTr="00547111">
        <w:tc>
          <w:tcPr>
            <w:tcW w:w="2694" w:type="dxa"/>
            <w:gridSpan w:val="2"/>
            <w:tcBorders>
              <w:top w:val="single" w:sz="4" w:space="0" w:color="auto"/>
              <w:left w:val="single" w:sz="4" w:space="0" w:color="auto"/>
            </w:tcBorders>
          </w:tcPr>
          <w:p w14:paraId="52C87DB0" w14:textId="77777777" w:rsidR="008F244A" w:rsidRDefault="008F244A" w:rsidP="008F2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8CBEF" w14:textId="77777777" w:rsidR="008F244A" w:rsidRDefault="008F244A" w:rsidP="008F244A">
            <w:pPr>
              <w:pStyle w:val="CRCoverPage"/>
              <w:spacing w:after="0"/>
              <w:ind w:left="100"/>
            </w:pPr>
            <w:r>
              <w:t xml:space="preserve">Current BDT policies do not consider energy KPIs. </w:t>
            </w:r>
          </w:p>
          <w:p w14:paraId="50143C2E" w14:textId="77777777" w:rsidR="008F244A" w:rsidRDefault="008F244A" w:rsidP="008F244A">
            <w:pPr>
              <w:pStyle w:val="CRCoverPage"/>
              <w:spacing w:after="0"/>
              <w:ind w:left="100"/>
            </w:pPr>
          </w:p>
          <w:p w14:paraId="33559EEE" w14:textId="77777777" w:rsidR="008F244A" w:rsidRDefault="008F244A" w:rsidP="008F244A">
            <w:pPr>
              <w:pStyle w:val="CRCoverPage"/>
              <w:spacing w:after="0"/>
              <w:ind w:left="100"/>
            </w:pPr>
            <w:r>
              <w:t>In the WID agreement it is mentioned that the enhancements for subscription and policy control to enable network energy savings need to be specified.</w:t>
            </w:r>
          </w:p>
          <w:p w14:paraId="76BEF1B7" w14:textId="77777777" w:rsidR="008F244A" w:rsidRDefault="008F244A" w:rsidP="008F244A">
            <w:pPr>
              <w:pStyle w:val="CRCoverPage"/>
              <w:spacing w:after="0"/>
              <w:ind w:left="100"/>
            </w:pPr>
          </w:p>
          <w:p w14:paraId="708AA7DE" w14:textId="4E1E6E8B" w:rsidR="008F244A" w:rsidRDefault="008F244A" w:rsidP="008F244A">
            <w:pPr>
              <w:pStyle w:val="CRCoverPage"/>
              <w:spacing w:after="0"/>
              <w:ind w:left="100"/>
              <w:rPr>
                <w:noProof/>
              </w:rPr>
            </w:pPr>
            <w:r>
              <w:t>This contribution addresses this issue focusing on BDT</w:t>
            </w:r>
            <w:r>
              <w:t xml:space="preserve"> </w:t>
            </w:r>
            <w:r>
              <w:rPr>
                <w:lang w:eastAsia="zh-CN"/>
              </w:rPr>
              <w:t>n</w:t>
            </w:r>
            <w:r w:rsidRPr="00140E21">
              <w:rPr>
                <w:lang w:eastAsia="zh-CN"/>
              </w:rPr>
              <w:t>egotiation</w:t>
            </w:r>
            <w:r>
              <w:rPr>
                <w:lang w:eastAsia="zh-CN"/>
              </w:rPr>
              <w:t xml:space="preserve"> procedures</w:t>
            </w:r>
            <w:r>
              <w:t xml:space="preserve">. </w:t>
            </w:r>
          </w:p>
        </w:tc>
      </w:tr>
      <w:tr w:rsidR="008F244A" w14:paraId="4CA74D09" w14:textId="77777777" w:rsidTr="00547111">
        <w:tc>
          <w:tcPr>
            <w:tcW w:w="2694" w:type="dxa"/>
            <w:gridSpan w:val="2"/>
            <w:tcBorders>
              <w:left w:val="single" w:sz="4" w:space="0" w:color="auto"/>
            </w:tcBorders>
          </w:tcPr>
          <w:p w14:paraId="2D0866D6" w14:textId="77777777" w:rsidR="008F244A" w:rsidRDefault="008F244A" w:rsidP="008F244A">
            <w:pPr>
              <w:pStyle w:val="CRCoverPage"/>
              <w:spacing w:after="0"/>
              <w:rPr>
                <w:b/>
                <w:i/>
                <w:noProof/>
                <w:sz w:val="8"/>
                <w:szCs w:val="8"/>
              </w:rPr>
            </w:pPr>
          </w:p>
        </w:tc>
        <w:tc>
          <w:tcPr>
            <w:tcW w:w="6946" w:type="dxa"/>
            <w:gridSpan w:val="9"/>
            <w:tcBorders>
              <w:right w:val="single" w:sz="4" w:space="0" w:color="auto"/>
            </w:tcBorders>
          </w:tcPr>
          <w:p w14:paraId="365DEF04" w14:textId="77777777" w:rsidR="008F244A" w:rsidRDefault="008F244A" w:rsidP="008F244A">
            <w:pPr>
              <w:pStyle w:val="CRCoverPage"/>
              <w:spacing w:after="0"/>
              <w:rPr>
                <w:noProof/>
                <w:sz w:val="8"/>
                <w:szCs w:val="8"/>
              </w:rPr>
            </w:pPr>
          </w:p>
        </w:tc>
      </w:tr>
      <w:tr w:rsidR="008F244A" w14:paraId="21016551" w14:textId="77777777" w:rsidTr="00547111">
        <w:tc>
          <w:tcPr>
            <w:tcW w:w="2694" w:type="dxa"/>
            <w:gridSpan w:val="2"/>
            <w:tcBorders>
              <w:left w:val="single" w:sz="4" w:space="0" w:color="auto"/>
            </w:tcBorders>
          </w:tcPr>
          <w:p w14:paraId="49433147" w14:textId="77777777" w:rsidR="008F244A" w:rsidRDefault="008F244A" w:rsidP="008F2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0253BD" w:rsidR="008F244A" w:rsidRDefault="008F244A" w:rsidP="008F244A">
            <w:pPr>
              <w:pStyle w:val="CRCoverPage"/>
              <w:spacing w:after="0"/>
              <w:ind w:left="100"/>
              <w:rPr>
                <w:noProof/>
              </w:rPr>
            </w:pPr>
            <w:r>
              <w:rPr>
                <w:noProof/>
              </w:rPr>
              <w:t xml:space="preserve">Add energy related information </w:t>
            </w:r>
            <w:r>
              <w:rPr>
                <w:noProof/>
              </w:rPr>
              <w:t xml:space="preserve">in </w:t>
            </w:r>
            <w:r>
              <w:t xml:space="preserve">BDT </w:t>
            </w:r>
            <w:r>
              <w:rPr>
                <w:lang w:eastAsia="zh-CN"/>
              </w:rPr>
              <w:t>n</w:t>
            </w:r>
            <w:r w:rsidRPr="00140E21">
              <w:rPr>
                <w:lang w:eastAsia="zh-CN"/>
              </w:rPr>
              <w:t>egotiation</w:t>
            </w:r>
            <w:r>
              <w:rPr>
                <w:lang w:eastAsia="zh-CN"/>
              </w:rPr>
              <w:t xml:space="preserve"> procedures</w:t>
            </w:r>
            <w:r>
              <w:rPr>
                <w:noProof/>
              </w:rPr>
              <w:t>.</w:t>
            </w:r>
          </w:p>
        </w:tc>
      </w:tr>
      <w:tr w:rsidR="008F244A" w14:paraId="1F886379" w14:textId="77777777" w:rsidTr="00547111">
        <w:tc>
          <w:tcPr>
            <w:tcW w:w="2694" w:type="dxa"/>
            <w:gridSpan w:val="2"/>
            <w:tcBorders>
              <w:left w:val="single" w:sz="4" w:space="0" w:color="auto"/>
            </w:tcBorders>
          </w:tcPr>
          <w:p w14:paraId="4D989623" w14:textId="77777777" w:rsidR="008F244A" w:rsidRDefault="008F244A" w:rsidP="008F244A">
            <w:pPr>
              <w:pStyle w:val="CRCoverPage"/>
              <w:spacing w:after="0"/>
              <w:rPr>
                <w:b/>
                <w:i/>
                <w:noProof/>
                <w:sz w:val="8"/>
                <w:szCs w:val="8"/>
              </w:rPr>
            </w:pPr>
          </w:p>
        </w:tc>
        <w:tc>
          <w:tcPr>
            <w:tcW w:w="6946" w:type="dxa"/>
            <w:gridSpan w:val="9"/>
            <w:tcBorders>
              <w:right w:val="single" w:sz="4" w:space="0" w:color="auto"/>
            </w:tcBorders>
          </w:tcPr>
          <w:p w14:paraId="71C4A204" w14:textId="77777777" w:rsidR="008F244A" w:rsidRDefault="008F244A" w:rsidP="008F244A">
            <w:pPr>
              <w:pStyle w:val="CRCoverPage"/>
              <w:spacing w:after="0"/>
              <w:rPr>
                <w:noProof/>
                <w:sz w:val="8"/>
                <w:szCs w:val="8"/>
              </w:rPr>
            </w:pPr>
          </w:p>
        </w:tc>
      </w:tr>
      <w:tr w:rsidR="008F244A" w14:paraId="678D7BF9" w14:textId="77777777" w:rsidTr="00547111">
        <w:tc>
          <w:tcPr>
            <w:tcW w:w="2694" w:type="dxa"/>
            <w:gridSpan w:val="2"/>
            <w:tcBorders>
              <w:left w:val="single" w:sz="4" w:space="0" w:color="auto"/>
              <w:bottom w:val="single" w:sz="4" w:space="0" w:color="auto"/>
            </w:tcBorders>
          </w:tcPr>
          <w:p w14:paraId="4E5CE1B6" w14:textId="77777777" w:rsidR="008F244A" w:rsidRDefault="008F244A" w:rsidP="008F2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8AECB" w:rsidR="008F244A" w:rsidRDefault="008F244A" w:rsidP="008F244A">
            <w:pPr>
              <w:pStyle w:val="CRCoverPage"/>
              <w:spacing w:after="0"/>
              <w:ind w:left="100"/>
              <w:rPr>
                <w:noProof/>
              </w:rPr>
            </w:pPr>
            <w:r>
              <w:rPr>
                <w:noProof/>
              </w:rPr>
              <w:t xml:space="preserve">BDT policy </w:t>
            </w:r>
            <w:r>
              <w:rPr>
                <w:noProof/>
              </w:rPr>
              <w:t xml:space="preserve">procedures </w:t>
            </w:r>
            <w:r>
              <w:rPr>
                <w:noProof/>
              </w:rPr>
              <w:t>will not consider energy related information.</w:t>
            </w:r>
          </w:p>
        </w:tc>
      </w:tr>
      <w:tr w:rsidR="008F244A" w14:paraId="034AF533" w14:textId="77777777" w:rsidTr="00547111">
        <w:tc>
          <w:tcPr>
            <w:tcW w:w="2694" w:type="dxa"/>
            <w:gridSpan w:val="2"/>
          </w:tcPr>
          <w:p w14:paraId="39D9EB5B" w14:textId="77777777" w:rsidR="008F244A" w:rsidRDefault="008F244A" w:rsidP="008F244A">
            <w:pPr>
              <w:pStyle w:val="CRCoverPage"/>
              <w:spacing w:after="0"/>
              <w:rPr>
                <w:b/>
                <w:i/>
                <w:noProof/>
                <w:sz w:val="8"/>
                <w:szCs w:val="8"/>
              </w:rPr>
            </w:pPr>
          </w:p>
        </w:tc>
        <w:tc>
          <w:tcPr>
            <w:tcW w:w="6946" w:type="dxa"/>
            <w:gridSpan w:val="9"/>
          </w:tcPr>
          <w:p w14:paraId="7826CB1C" w14:textId="77777777" w:rsidR="008F244A" w:rsidRDefault="008F244A" w:rsidP="008F244A">
            <w:pPr>
              <w:pStyle w:val="CRCoverPage"/>
              <w:spacing w:after="0"/>
              <w:rPr>
                <w:noProof/>
                <w:sz w:val="8"/>
                <w:szCs w:val="8"/>
              </w:rPr>
            </w:pPr>
          </w:p>
        </w:tc>
      </w:tr>
      <w:tr w:rsidR="008F244A" w14:paraId="6A17D7AC" w14:textId="77777777" w:rsidTr="00547111">
        <w:tc>
          <w:tcPr>
            <w:tcW w:w="2694" w:type="dxa"/>
            <w:gridSpan w:val="2"/>
            <w:tcBorders>
              <w:top w:val="single" w:sz="4" w:space="0" w:color="auto"/>
              <w:left w:val="single" w:sz="4" w:space="0" w:color="auto"/>
            </w:tcBorders>
          </w:tcPr>
          <w:p w14:paraId="6DAD5B19" w14:textId="77777777" w:rsidR="008F244A" w:rsidRDefault="008F244A" w:rsidP="008F2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99A3B" w:rsidR="008F244A" w:rsidRDefault="008F244A" w:rsidP="008F244A">
            <w:pPr>
              <w:pStyle w:val="CRCoverPage"/>
              <w:spacing w:after="0"/>
              <w:ind w:left="100"/>
              <w:rPr>
                <w:noProof/>
              </w:rPr>
            </w:pPr>
            <w:r w:rsidRPr="00140E21">
              <w:rPr>
                <w:lang w:eastAsia="zh-CN"/>
              </w:rPr>
              <w:t>4.16.7</w:t>
            </w:r>
          </w:p>
        </w:tc>
      </w:tr>
      <w:tr w:rsidR="008F244A" w14:paraId="56E1E6C3" w14:textId="77777777" w:rsidTr="00547111">
        <w:tc>
          <w:tcPr>
            <w:tcW w:w="2694" w:type="dxa"/>
            <w:gridSpan w:val="2"/>
            <w:tcBorders>
              <w:left w:val="single" w:sz="4" w:space="0" w:color="auto"/>
            </w:tcBorders>
          </w:tcPr>
          <w:p w14:paraId="2FB9DE77" w14:textId="77777777" w:rsidR="008F244A" w:rsidRDefault="008F244A" w:rsidP="008F244A">
            <w:pPr>
              <w:pStyle w:val="CRCoverPage"/>
              <w:spacing w:after="0"/>
              <w:rPr>
                <w:b/>
                <w:i/>
                <w:noProof/>
                <w:sz w:val="8"/>
                <w:szCs w:val="8"/>
              </w:rPr>
            </w:pPr>
          </w:p>
        </w:tc>
        <w:tc>
          <w:tcPr>
            <w:tcW w:w="6946" w:type="dxa"/>
            <w:gridSpan w:val="9"/>
            <w:tcBorders>
              <w:right w:val="single" w:sz="4" w:space="0" w:color="auto"/>
            </w:tcBorders>
          </w:tcPr>
          <w:p w14:paraId="0898542D" w14:textId="77777777" w:rsidR="008F244A" w:rsidRDefault="008F244A" w:rsidP="008F244A">
            <w:pPr>
              <w:pStyle w:val="CRCoverPage"/>
              <w:spacing w:after="0"/>
              <w:rPr>
                <w:noProof/>
                <w:sz w:val="8"/>
                <w:szCs w:val="8"/>
              </w:rPr>
            </w:pPr>
          </w:p>
        </w:tc>
      </w:tr>
      <w:tr w:rsidR="008F244A" w14:paraId="76F95A8B" w14:textId="77777777" w:rsidTr="00547111">
        <w:tc>
          <w:tcPr>
            <w:tcW w:w="2694" w:type="dxa"/>
            <w:gridSpan w:val="2"/>
            <w:tcBorders>
              <w:left w:val="single" w:sz="4" w:space="0" w:color="auto"/>
            </w:tcBorders>
          </w:tcPr>
          <w:p w14:paraId="335EAB52" w14:textId="77777777" w:rsidR="008F244A" w:rsidRDefault="008F244A" w:rsidP="008F2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F244A" w:rsidRDefault="008F244A" w:rsidP="008F2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F244A" w:rsidRDefault="008F244A" w:rsidP="008F244A">
            <w:pPr>
              <w:pStyle w:val="CRCoverPage"/>
              <w:spacing w:after="0"/>
              <w:jc w:val="center"/>
              <w:rPr>
                <w:b/>
                <w:caps/>
                <w:noProof/>
              </w:rPr>
            </w:pPr>
            <w:r>
              <w:rPr>
                <w:b/>
                <w:caps/>
                <w:noProof/>
              </w:rPr>
              <w:t>N</w:t>
            </w:r>
          </w:p>
        </w:tc>
        <w:tc>
          <w:tcPr>
            <w:tcW w:w="2977" w:type="dxa"/>
            <w:gridSpan w:val="4"/>
          </w:tcPr>
          <w:p w14:paraId="304CCBCB" w14:textId="77777777" w:rsidR="008F244A" w:rsidRDefault="008F244A" w:rsidP="008F2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F244A" w:rsidRDefault="008F244A" w:rsidP="008F244A">
            <w:pPr>
              <w:pStyle w:val="CRCoverPage"/>
              <w:spacing w:after="0"/>
              <w:ind w:left="99"/>
              <w:rPr>
                <w:noProof/>
              </w:rPr>
            </w:pPr>
          </w:p>
        </w:tc>
      </w:tr>
      <w:tr w:rsidR="008F244A" w14:paraId="34ACE2EB" w14:textId="77777777" w:rsidTr="00547111">
        <w:tc>
          <w:tcPr>
            <w:tcW w:w="2694" w:type="dxa"/>
            <w:gridSpan w:val="2"/>
            <w:tcBorders>
              <w:left w:val="single" w:sz="4" w:space="0" w:color="auto"/>
            </w:tcBorders>
          </w:tcPr>
          <w:p w14:paraId="571382F3" w14:textId="77777777" w:rsidR="008F244A" w:rsidRDefault="008F244A" w:rsidP="008F2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CF93E2" w:rsidR="008F244A" w:rsidRDefault="008F244A" w:rsidP="008F24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D6823" w:rsidR="008F244A" w:rsidRDefault="008F244A" w:rsidP="008F244A">
            <w:pPr>
              <w:pStyle w:val="CRCoverPage"/>
              <w:spacing w:after="0"/>
              <w:jc w:val="center"/>
              <w:rPr>
                <w:b/>
                <w:caps/>
                <w:noProof/>
              </w:rPr>
            </w:pPr>
          </w:p>
        </w:tc>
        <w:tc>
          <w:tcPr>
            <w:tcW w:w="2977" w:type="dxa"/>
            <w:gridSpan w:val="4"/>
          </w:tcPr>
          <w:p w14:paraId="7DB274D8" w14:textId="77777777" w:rsidR="008F244A" w:rsidRDefault="008F244A" w:rsidP="008F2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2D78C9" w:rsidR="008F244A" w:rsidRDefault="008F244A" w:rsidP="008F244A">
            <w:pPr>
              <w:pStyle w:val="CRCoverPage"/>
              <w:spacing w:after="0"/>
              <w:ind w:left="99"/>
              <w:rPr>
                <w:noProof/>
              </w:rPr>
            </w:pPr>
            <w:r>
              <w:rPr>
                <w:noProof/>
              </w:rPr>
              <w:t xml:space="preserve">TS/TR 23.503 CR ... </w:t>
            </w:r>
          </w:p>
        </w:tc>
      </w:tr>
      <w:tr w:rsidR="008F244A" w14:paraId="446DDBAC" w14:textId="77777777" w:rsidTr="00547111">
        <w:tc>
          <w:tcPr>
            <w:tcW w:w="2694" w:type="dxa"/>
            <w:gridSpan w:val="2"/>
            <w:tcBorders>
              <w:left w:val="single" w:sz="4" w:space="0" w:color="auto"/>
            </w:tcBorders>
          </w:tcPr>
          <w:p w14:paraId="678A1AA6" w14:textId="77777777" w:rsidR="008F244A" w:rsidRDefault="008F244A" w:rsidP="008F2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244A" w:rsidRDefault="008F244A" w:rsidP="008F2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68F67C" w:rsidR="008F244A" w:rsidRDefault="008F244A" w:rsidP="008F244A">
            <w:pPr>
              <w:pStyle w:val="CRCoverPage"/>
              <w:spacing w:after="0"/>
              <w:jc w:val="center"/>
              <w:rPr>
                <w:b/>
                <w:caps/>
                <w:noProof/>
              </w:rPr>
            </w:pPr>
            <w:r>
              <w:rPr>
                <w:b/>
                <w:caps/>
                <w:noProof/>
              </w:rPr>
              <w:t>x</w:t>
            </w:r>
          </w:p>
        </w:tc>
        <w:tc>
          <w:tcPr>
            <w:tcW w:w="2977" w:type="dxa"/>
            <w:gridSpan w:val="4"/>
          </w:tcPr>
          <w:p w14:paraId="1A4306D9" w14:textId="77777777" w:rsidR="008F244A" w:rsidRDefault="008F244A" w:rsidP="008F2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F244A" w:rsidRDefault="008F244A" w:rsidP="008F244A">
            <w:pPr>
              <w:pStyle w:val="CRCoverPage"/>
              <w:spacing w:after="0"/>
              <w:ind w:left="99"/>
              <w:rPr>
                <w:noProof/>
              </w:rPr>
            </w:pPr>
            <w:r>
              <w:rPr>
                <w:noProof/>
              </w:rPr>
              <w:t xml:space="preserve">TS/TR ... CR ... </w:t>
            </w:r>
          </w:p>
        </w:tc>
      </w:tr>
      <w:tr w:rsidR="008F244A" w14:paraId="55C714D2" w14:textId="77777777" w:rsidTr="00547111">
        <w:tc>
          <w:tcPr>
            <w:tcW w:w="2694" w:type="dxa"/>
            <w:gridSpan w:val="2"/>
            <w:tcBorders>
              <w:left w:val="single" w:sz="4" w:space="0" w:color="auto"/>
            </w:tcBorders>
          </w:tcPr>
          <w:p w14:paraId="45913E62" w14:textId="77777777" w:rsidR="008F244A" w:rsidRDefault="008F244A" w:rsidP="008F2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244A" w:rsidRDefault="008F244A" w:rsidP="008F2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49B0F" w:rsidR="008F244A" w:rsidRDefault="008F244A" w:rsidP="008F244A">
            <w:pPr>
              <w:pStyle w:val="CRCoverPage"/>
              <w:spacing w:after="0"/>
              <w:jc w:val="center"/>
              <w:rPr>
                <w:b/>
                <w:caps/>
                <w:noProof/>
              </w:rPr>
            </w:pPr>
            <w:r>
              <w:rPr>
                <w:b/>
                <w:caps/>
                <w:noProof/>
              </w:rPr>
              <w:t>x</w:t>
            </w:r>
          </w:p>
        </w:tc>
        <w:tc>
          <w:tcPr>
            <w:tcW w:w="2977" w:type="dxa"/>
            <w:gridSpan w:val="4"/>
          </w:tcPr>
          <w:p w14:paraId="1B4FF921" w14:textId="77777777" w:rsidR="008F244A" w:rsidRDefault="008F244A" w:rsidP="008F2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F244A" w:rsidRDefault="008F244A" w:rsidP="008F244A">
            <w:pPr>
              <w:pStyle w:val="CRCoverPage"/>
              <w:spacing w:after="0"/>
              <w:ind w:left="99"/>
              <w:rPr>
                <w:noProof/>
              </w:rPr>
            </w:pPr>
            <w:r>
              <w:rPr>
                <w:noProof/>
              </w:rPr>
              <w:t xml:space="preserve">TS/TR ... CR ... </w:t>
            </w:r>
          </w:p>
        </w:tc>
      </w:tr>
      <w:tr w:rsidR="008F244A" w14:paraId="60DF82CC" w14:textId="77777777" w:rsidTr="008863B9">
        <w:tc>
          <w:tcPr>
            <w:tcW w:w="2694" w:type="dxa"/>
            <w:gridSpan w:val="2"/>
            <w:tcBorders>
              <w:left w:val="single" w:sz="4" w:space="0" w:color="auto"/>
            </w:tcBorders>
          </w:tcPr>
          <w:p w14:paraId="517696CD" w14:textId="77777777" w:rsidR="008F244A" w:rsidRDefault="008F244A" w:rsidP="008F244A">
            <w:pPr>
              <w:pStyle w:val="CRCoverPage"/>
              <w:spacing w:after="0"/>
              <w:rPr>
                <w:b/>
                <w:i/>
                <w:noProof/>
              </w:rPr>
            </w:pPr>
          </w:p>
        </w:tc>
        <w:tc>
          <w:tcPr>
            <w:tcW w:w="6946" w:type="dxa"/>
            <w:gridSpan w:val="9"/>
            <w:tcBorders>
              <w:right w:val="single" w:sz="4" w:space="0" w:color="auto"/>
            </w:tcBorders>
          </w:tcPr>
          <w:p w14:paraId="4D84207F" w14:textId="77777777" w:rsidR="008F244A" w:rsidRDefault="008F244A" w:rsidP="008F244A">
            <w:pPr>
              <w:pStyle w:val="CRCoverPage"/>
              <w:spacing w:after="0"/>
              <w:rPr>
                <w:noProof/>
              </w:rPr>
            </w:pPr>
          </w:p>
        </w:tc>
      </w:tr>
      <w:tr w:rsidR="008F244A" w14:paraId="556B87B6" w14:textId="77777777" w:rsidTr="008863B9">
        <w:tc>
          <w:tcPr>
            <w:tcW w:w="2694" w:type="dxa"/>
            <w:gridSpan w:val="2"/>
            <w:tcBorders>
              <w:left w:val="single" w:sz="4" w:space="0" w:color="auto"/>
              <w:bottom w:val="single" w:sz="4" w:space="0" w:color="auto"/>
            </w:tcBorders>
          </w:tcPr>
          <w:p w14:paraId="79A9C411" w14:textId="77777777" w:rsidR="008F244A" w:rsidRDefault="008F244A" w:rsidP="008F2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F244A" w:rsidRDefault="008F244A" w:rsidP="008F244A">
            <w:pPr>
              <w:pStyle w:val="CRCoverPage"/>
              <w:spacing w:after="0"/>
              <w:ind w:left="100"/>
              <w:rPr>
                <w:noProof/>
              </w:rPr>
            </w:pPr>
          </w:p>
        </w:tc>
      </w:tr>
      <w:tr w:rsidR="008F244A" w:rsidRPr="008863B9" w14:paraId="45BFE792" w14:textId="77777777" w:rsidTr="008863B9">
        <w:tc>
          <w:tcPr>
            <w:tcW w:w="2694" w:type="dxa"/>
            <w:gridSpan w:val="2"/>
            <w:tcBorders>
              <w:top w:val="single" w:sz="4" w:space="0" w:color="auto"/>
              <w:bottom w:val="single" w:sz="4" w:space="0" w:color="auto"/>
            </w:tcBorders>
          </w:tcPr>
          <w:p w14:paraId="194242DD" w14:textId="77777777" w:rsidR="008F244A" w:rsidRPr="008863B9" w:rsidRDefault="008F244A" w:rsidP="008F2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F244A" w:rsidRPr="008863B9" w:rsidRDefault="008F244A" w:rsidP="008F244A">
            <w:pPr>
              <w:pStyle w:val="CRCoverPage"/>
              <w:spacing w:after="0"/>
              <w:ind w:left="100"/>
              <w:rPr>
                <w:noProof/>
                <w:sz w:val="8"/>
                <w:szCs w:val="8"/>
              </w:rPr>
            </w:pPr>
          </w:p>
        </w:tc>
      </w:tr>
      <w:tr w:rsidR="008F24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F244A" w:rsidRDefault="008F244A" w:rsidP="008F2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F244A" w:rsidRDefault="008F244A" w:rsidP="008F244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D28C3D" w14:textId="77777777" w:rsidR="00135725" w:rsidRDefault="00135725" w:rsidP="00135725">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lastRenderedPageBreak/>
        <w:t xml:space="preserve">* </w:t>
      </w:r>
      <w:r>
        <w:t>* * * First</w:t>
      </w:r>
      <w:r>
        <w:rPr>
          <w:rFonts w:hint="eastAsia"/>
        </w:rPr>
        <w:t xml:space="preserve"> </w:t>
      </w:r>
      <w:r>
        <w:t xml:space="preserve">Change * * * * </w:t>
      </w:r>
    </w:p>
    <w:p w14:paraId="415AF69F" w14:textId="77777777" w:rsidR="00135725" w:rsidRPr="00140E21" w:rsidRDefault="00135725" w:rsidP="00135725">
      <w:pPr>
        <w:pStyle w:val="Heading3"/>
        <w:rPr>
          <w:lang w:eastAsia="zh-CN"/>
        </w:rPr>
      </w:pPr>
      <w:bookmarkStart w:id="8" w:name="_Toc20204241"/>
      <w:bookmarkStart w:id="9" w:name="_Toc27894933"/>
      <w:bookmarkStart w:id="10" w:name="_Toc36192014"/>
      <w:bookmarkStart w:id="11" w:name="_Toc45193104"/>
      <w:bookmarkStart w:id="12" w:name="_Toc47592736"/>
      <w:bookmarkStart w:id="13" w:name="_Toc51834823"/>
      <w:bookmarkStart w:id="14" w:name="_Toc178071829"/>
      <w:bookmarkStart w:id="15" w:name="_Toc177741350"/>
      <w:bookmarkStart w:id="16" w:name="_Toc20150191"/>
      <w:bookmarkStart w:id="17" w:name="_Toc27846999"/>
      <w:bookmarkStart w:id="18" w:name="_Toc36188130"/>
      <w:bookmarkStart w:id="19" w:name="_Toc45184037"/>
      <w:bookmarkStart w:id="20" w:name="_Toc47342879"/>
      <w:bookmarkStart w:id="21" w:name="_Toc51769581"/>
      <w:bookmarkStart w:id="22" w:name="_Toc177741348"/>
      <w:bookmarkStart w:id="23" w:name="_Toc20204494"/>
      <w:bookmarkStart w:id="24" w:name="_Toc27895193"/>
      <w:bookmarkStart w:id="25" w:name="_Toc36192290"/>
      <w:bookmarkStart w:id="26" w:name="_Toc45193403"/>
      <w:bookmarkStart w:id="27" w:name="_Toc47593035"/>
      <w:bookmarkStart w:id="28" w:name="_Toc51835122"/>
      <w:bookmarkStart w:id="29" w:name="_Toc178072189"/>
      <w:bookmarkStart w:id="30" w:name="_Toc19197330"/>
      <w:bookmarkStart w:id="31" w:name="_Toc27896483"/>
      <w:bookmarkStart w:id="32" w:name="_Toc36192651"/>
      <w:bookmarkStart w:id="33" w:name="_Toc37076382"/>
      <w:bookmarkStart w:id="34" w:name="_Toc45194828"/>
      <w:bookmarkStart w:id="35" w:name="_Toc47594240"/>
      <w:bookmarkStart w:id="36" w:name="_Toc51836871"/>
      <w:bookmarkStart w:id="37" w:name="_Toc178073140"/>
      <w:bookmarkEnd w:id="1"/>
      <w:bookmarkEnd w:id="2"/>
      <w:bookmarkEnd w:id="3"/>
      <w:bookmarkEnd w:id="4"/>
      <w:bookmarkEnd w:id="5"/>
      <w:bookmarkEnd w:id="6"/>
      <w:bookmarkEnd w:id="7"/>
      <w:r w:rsidRPr="00140E21">
        <w:rPr>
          <w:lang w:eastAsia="zh-CN"/>
        </w:rPr>
        <w:t>4.16.7</w:t>
      </w:r>
      <w:r w:rsidRPr="00140E21">
        <w:rPr>
          <w:lang w:eastAsia="zh-CN"/>
        </w:rPr>
        <w:tab/>
        <w:t>Negotiations for future background data transfer</w:t>
      </w:r>
      <w:bookmarkEnd w:id="8"/>
      <w:bookmarkEnd w:id="9"/>
      <w:bookmarkEnd w:id="10"/>
      <w:bookmarkEnd w:id="11"/>
      <w:bookmarkEnd w:id="12"/>
      <w:bookmarkEnd w:id="13"/>
      <w:bookmarkEnd w:id="14"/>
    </w:p>
    <w:p w14:paraId="59B41258" w14:textId="77777777" w:rsidR="00135725" w:rsidRPr="00140E21" w:rsidRDefault="00135725" w:rsidP="00135725">
      <w:pPr>
        <w:pStyle w:val="Heading4"/>
        <w:rPr>
          <w:lang w:eastAsia="zh-CN"/>
        </w:rPr>
      </w:pPr>
      <w:bookmarkStart w:id="38" w:name="_CR4_16_7_1"/>
      <w:bookmarkStart w:id="39" w:name="_Toc20204242"/>
      <w:bookmarkStart w:id="40" w:name="_Toc27894934"/>
      <w:bookmarkStart w:id="41" w:name="_Toc36192015"/>
      <w:bookmarkStart w:id="42" w:name="_Toc45193105"/>
      <w:bookmarkStart w:id="43" w:name="_Toc47592737"/>
      <w:bookmarkStart w:id="44" w:name="_Toc51834824"/>
      <w:bookmarkStart w:id="45" w:name="_Toc178071830"/>
      <w:bookmarkEnd w:id="38"/>
      <w:r w:rsidRPr="00140E21">
        <w:rPr>
          <w:lang w:eastAsia="zh-CN"/>
        </w:rPr>
        <w:t>4.16.7.1</w:t>
      </w:r>
      <w:r w:rsidRPr="00140E21">
        <w:rPr>
          <w:lang w:eastAsia="zh-CN"/>
        </w:rPr>
        <w:tab/>
        <w:t>General</w:t>
      </w:r>
      <w:bookmarkEnd w:id="39"/>
      <w:bookmarkEnd w:id="40"/>
      <w:bookmarkEnd w:id="41"/>
      <w:bookmarkEnd w:id="42"/>
      <w:bookmarkEnd w:id="43"/>
      <w:bookmarkEnd w:id="44"/>
      <w:bookmarkEnd w:id="45"/>
    </w:p>
    <w:p w14:paraId="6C3098FA" w14:textId="57F59B52" w:rsidR="00135725" w:rsidRDefault="00135725" w:rsidP="00135725">
      <w:r w:rsidRPr="00140E21">
        <w:t xml:space="preserve">The procedure for future background data transfer as specified in clause 4.16.7.2 enables the negotiation between the NEF and the H-PCF about the transfer policies for the future background data transfer (as described in clause 6.1.2.4 </w:t>
      </w:r>
      <w:r>
        <w:t>of</w:t>
      </w:r>
      <w:r w:rsidRPr="00140E21">
        <w:t xml:space="preserve"> TS</w:t>
      </w:r>
      <w:r>
        <w:t> </w:t>
      </w:r>
      <w:r w:rsidRPr="00140E21">
        <w:t>23.503</w:t>
      </w:r>
      <w:r>
        <w:t> </w:t>
      </w:r>
      <w:r w:rsidRPr="00140E21">
        <w:t>[20]). The transfer policies consist of a desired time window for the background data transfer, a reference to a charging rate for the time window</w:t>
      </w:r>
      <w:r>
        <w:t xml:space="preserve">, network area information and </w:t>
      </w:r>
      <w:r w:rsidRPr="00140E21">
        <w:t xml:space="preserve">optionally </w:t>
      </w:r>
      <w:ins w:id="46" w:author="Samdanis" w:date="2024-10-04T16:57:00Z">
        <w:r w:rsidRPr="00140E21">
          <w:t>a</w:t>
        </w:r>
        <w:r>
          <w:t>n energy KPI and</w:t>
        </w:r>
      </w:ins>
      <w:r w:rsidRPr="00140E21">
        <w:t xml:space="preserve"> </w:t>
      </w:r>
      <w:r>
        <w:t xml:space="preserve">a </w:t>
      </w:r>
      <w:r w:rsidRPr="00140E21">
        <w:t>maximum aggregated bitrate, as described in clause 6.1.</w:t>
      </w:r>
      <w:r>
        <w:t>2.4 of TS 23.503 [20]</w:t>
      </w:r>
      <w:r w:rsidRPr="00140E21">
        <w:t>.</w:t>
      </w:r>
    </w:p>
    <w:p w14:paraId="05E78198" w14:textId="77777777" w:rsidR="00135725" w:rsidRPr="00140E21" w:rsidRDefault="00135725" w:rsidP="00135725">
      <w:pPr>
        <w:rPr>
          <w:ins w:id="47" w:author="Samdanis" w:date="2024-10-04T16:58:00Z"/>
        </w:rPr>
      </w:pPr>
      <w:ins w:id="48" w:author="Samdanis" w:date="2024-10-04T16:58:00Z">
        <w:r>
          <w:t>NOTE x: Energy KPIs are considered per application per UE or set of UEs.</w:t>
        </w:r>
      </w:ins>
    </w:p>
    <w:p w14:paraId="3083F7EF" w14:textId="77777777" w:rsidR="00135725" w:rsidRPr="00140E21" w:rsidRDefault="00135725" w:rsidP="00135725">
      <w:r w:rsidRPr="00140E21">
        <w:t xml:space="preserve">This negotiation is preliminarily conducted (when AF initiates a procedure to NEF) before the UE's PDU Session establishment. </w:t>
      </w:r>
      <w:r>
        <w:t xml:space="preserve">When the AF wants to apply the Background Data Transfer Policy to an existing PDU Session, then at the time the background data transfer is about to start </w:t>
      </w:r>
      <w:r w:rsidRPr="00140E21">
        <w:t xml:space="preserve">the AF invokes the </w:t>
      </w:r>
      <w:proofErr w:type="spellStart"/>
      <w:r w:rsidRPr="00140E21">
        <w:t>Npcf_PolicyAuthorization_Create</w:t>
      </w:r>
      <w:proofErr w:type="spellEnd"/>
      <w:r w:rsidRPr="00140E21">
        <w:t xml:space="preserve"> service directly with PCF, or via the NEF, to apply the background data transfer policy for an individual UE.</w:t>
      </w:r>
      <w:r>
        <w:t xml:space="preserve"> When the AF wants to apply the Background Data Transfer Policy to a future PDU Session, then the AF invokes </w:t>
      </w:r>
      <w:proofErr w:type="spellStart"/>
      <w:r>
        <w:t>Nnef_ApplyPolicy_Create</w:t>
      </w:r>
      <w:proofErr w:type="spellEnd"/>
      <w:r>
        <w:t xml:space="preserve"> service to provide, to the NEF, the Background Data Transfer Reference ID together with the External Identifier or External Group Identifier of the UE(s) that are subject to the policy.</w:t>
      </w:r>
    </w:p>
    <w:p w14:paraId="51CB5481" w14:textId="77777777" w:rsidR="00135725" w:rsidRPr="00140E21" w:rsidRDefault="00135725" w:rsidP="00135725">
      <w:pPr>
        <w:rPr>
          <w:lang w:eastAsia="zh-CN"/>
        </w:rPr>
      </w:pPr>
      <w:r w:rsidRPr="00140E21">
        <w:rPr>
          <w:lang w:eastAsia="zh-CN"/>
        </w:rPr>
        <w:t xml:space="preserve">The procedure for BDT warning notification as specified in clause 4.16.7.3 enables the PCF to notify the AF that the network performance </w:t>
      </w:r>
      <w:proofErr w:type="gramStart"/>
      <w:r w:rsidRPr="00140E21">
        <w:rPr>
          <w:lang w:eastAsia="zh-CN"/>
        </w:rPr>
        <w:t>in the area of</w:t>
      </w:r>
      <w:proofErr w:type="gramEnd"/>
      <w:r w:rsidRPr="00140E21">
        <w:rPr>
          <w:lang w:eastAsia="zh-CN"/>
        </w:rPr>
        <w:t xml:space="preserve"> interest goes below the criteria set by the operator as described in clause 6.1.2.4 of TS</w:t>
      </w:r>
      <w:r>
        <w:rPr>
          <w:lang w:eastAsia="zh-CN"/>
        </w:rPr>
        <w:t> </w:t>
      </w:r>
      <w:r w:rsidRPr="00140E21">
        <w:rPr>
          <w:lang w:eastAsia="zh-CN"/>
        </w:rPr>
        <w:t>23.503</w:t>
      </w:r>
      <w:r>
        <w:rPr>
          <w:lang w:eastAsia="zh-CN"/>
        </w:rPr>
        <w:t> </w:t>
      </w:r>
      <w:r w:rsidRPr="00140E21">
        <w:rPr>
          <w:lang w:eastAsia="zh-CN"/>
        </w:rPr>
        <w:t>[20].</w:t>
      </w:r>
    </w:p>
    <w:p w14:paraId="0075BA0D" w14:textId="77777777" w:rsidR="00135725" w:rsidRPr="00140E21" w:rsidRDefault="00135725" w:rsidP="00135725">
      <w:pPr>
        <w:pStyle w:val="Heading4"/>
        <w:rPr>
          <w:lang w:eastAsia="zh-CN"/>
        </w:rPr>
      </w:pPr>
      <w:bookmarkStart w:id="49" w:name="_CR4_16_7_2"/>
      <w:bookmarkStart w:id="50" w:name="_Toc20204243"/>
      <w:bookmarkStart w:id="51" w:name="_Toc27894935"/>
      <w:bookmarkStart w:id="52" w:name="_Toc36192016"/>
      <w:bookmarkStart w:id="53" w:name="_Toc45193106"/>
      <w:bookmarkStart w:id="54" w:name="_Toc47592738"/>
      <w:bookmarkStart w:id="55" w:name="_Toc51834825"/>
      <w:bookmarkStart w:id="56" w:name="_Toc178071831"/>
      <w:bookmarkEnd w:id="49"/>
      <w:r w:rsidRPr="00140E21">
        <w:rPr>
          <w:lang w:eastAsia="zh-CN"/>
        </w:rPr>
        <w:t>4.16.7.2</w:t>
      </w:r>
      <w:r w:rsidRPr="00140E21">
        <w:rPr>
          <w:lang w:eastAsia="zh-CN"/>
        </w:rPr>
        <w:tab/>
        <w:t>Procedures for future background data transfer</w:t>
      </w:r>
      <w:bookmarkEnd w:id="50"/>
      <w:bookmarkEnd w:id="51"/>
      <w:bookmarkEnd w:id="52"/>
      <w:bookmarkEnd w:id="53"/>
      <w:bookmarkEnd w:id="54"/>
      <w:bookmarkEnd w:id="55"/>
      <w:bookmarkEnd w:id="56"/>
    </w:p>
    <w:bookmarkStart w:id="57" w:name="_MON_1581547308"/>
    <w:bookmarkEnd w:id="57"/>
    <w:p w14:paraId="3F6F2864" w14:textId="77777777" w:rsidR="00135725" w:rsidRPr="00140E21" w:rsidRDefault="00135725" w:rsidP="00135725">
      <w:pPr>
        <w:pStyle w:val="TH"/>
      </w:pPr>
      <w:r w:rsidRPr="00140E21">
        <w:object w:dxaOrig="8705" w:dyaOrig="5799" w14:anchorId="61BD2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288.6pt" o:ole="">
            <v:imagedata r:id="rId12" o:title=""/>
          </v:shape>
          <o:OLEObject Type="Embed" ProgID="Word.Picture.8" ShapeID="_x0000_i1025" DrawAspect="Content" ObjectID="_1789566499" r:id="rId13"/>
        </w:object>
      </w:r>
    </w:p>
    <w:p w14:paraId="266D497D" w14:textId="77777777" w:rsidR="00135725" w:rsidRPr="00140E21" w:rsidRDefault="00135725" w:rsidP="00135725">
      <w:pPr>
        <w:pStyle w:val="TF"/>
      </w:pPr>
      <w:bookmarkStart w:id="58" w:name="_CRFigure4_16_7_21"/>
      <w:r w:rsidRPr="00140E21">
        <w:t xml:space="preserve">Figure </w:t>
      </w:r>
      <w:bookmarkEnd w:id="58"/>
      <w:r w:rsidRPr="00140E21">
        <w:t>4.16.7.2-1: Negotiation for future background data transfer</w:t>
      </w:r>
    </w:p>
    <w:p w14:paraId="49A91873" w14:textId="3D7BE9EC" w:rsidR="00135725" w:rsidRPr="00140E21" w:rsidRDefault="00135725" w:rsidP="00135725">
      <w:pPr>
        <w:pStyle w:val="B1"/>
      </w:pPr>
      <w:r w:rsidRPr="00140E21">
        <w:t>1.</w:t>
      </w:r>
      <w:r w:rsidRPr="00140E21">
        <w:tab/>
        <w:t xml:space="preserve">The AF invokes the </w:t>
      </w:r>
      <w:proofErr w:type="spellStart"/>
      <w:r w:rsidRPr="00140E21">
        <w:t>Nnef_BDTPNegotiation_Create</w:t>
      </w:r>
      <w:proofErr w:type="spellEnd"/>
      <w:r w:rsidRPr="00140E21">
        <w:t xml:space="preserve"> (ASP</w:t>
      </w:r>
      <w:r>
        <w:t xml:space="preserve"> Identifier</w:t>
      </w:r>
      <w:r w:rsidRPr="00140E21">
        <w:t>, Number of UEs, Volume per UE, Desired time window</w:t>
      </w:r>
      <w:r>
        <w:t xml:space="preserve"> and </w:t>
      </w:r>
      <w:r w:rsidRPr="00140E21">
        <w:t xml:space="preserve">optionally </w:t>
      </w:r>
      <w:ins w:id="59" w:author="Samdanis" w:date="2024-10-04T16:57:00Z">
        <w:r>
          <w:t>energy KPI(s),</w:t>
        </w:r>
        <w:r>
          <w:t xml:space="preserve"> </w:t>
        </w:r>
      </w:ins>
      <w:r w:rsidRPr="00140E21">
        <w:t>External Group Identifier, Network Area Information,</w:t>
      </w:r>
      <w:r>
        <w:t xml:space="preserve"> R</w:t>
      </w:r>
      <w:r w:rsidRPr="00140E21">
        <w:t>equest for notification</w:t>
      </w:r>
      <w:r>
        <w:t>, MAC address or IP 3-tuple of Application server</w:t>
      </w:r>
      <w:r w:rsidRPr="00140E21">
        <w:t>). The</w:t>
      </w:r>
      <w:r>
        <w:t xml:space="preserve"> R</w:t>
      </w:r>
      <w:r w:rsidRPr="00140E21">
        <w:t>equest for notification is an indication that BDT warning notification should be sent to the AF.</w:t>
      </w:r>
    </w:p>
    <w:p w14:paraId="771BDE06" w14:textId="77777777" w:rsidR="00135725" w:rsidRPr="00140E21" w:rsidRDefault="00135725" w:rsidP="00135725">
      <w:pPr>
        <w:pStyle w:val="B1"/>
      </w:pPr>
      <w:r w:rsidRPr="00140E21">
        <w:lastRenderedPageBreak/>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03217BC1" w14:textId="2303F2E6" w:rsidR="00135725" w:rsidRPr="00140E21" w:rsidRDefault="00135725" w:rsidP="00135725">
      <w:pPr>
        <w:pStyle w:val="B1"/>
      </w:pPr>
      <w:r w:rsidRPr="00140E21">
        <w:t>2b.</w:t>
      </w:r>
      <w:r w:rsidRPr="00140E21">
        <w:tab/>
        <w:t xml:space="preserve">The NEF invokes the </w:t>
      </w:r>
      <w:proofErr w:type="spellStart"/>
      <w:r w:rsidRPr="00140E21">
        <w:t>Npcf_BDTPolicyControl_Create</w:t>
      </w:r>
      <w:proofErr w:type="spellEnd"/>
      <w:r w:rsidRPr="00140E21">
        <w:t xml:space="preserve"> (ASP</w:t>
      </w:r>
      <w:r>
        <w:t xml:space="preserve"> Identifier</w:t>
      </w:r>
      <w:r w:rsidRPr="00140E21">
        <w:t xml:space="preserve">, Number of UEs, Volume per UE, Desired time window and optionally </w:t>
      </w:r>
      <w:ins w:id="60" w:author="Samdanis" w:date="2024-10-04T16:56:00Z">
        <w:r>
          <w:t>energy KPI(s),</w:t>
        </w:r>
        <w:r>
          <w:t xml:space="preserve"> </w:t>
        </w:r>
      </w:ins>
      <w:r w:rsidRPr="00140E21">
        <w:t>Internal Group Identifier, the Network Area Information,</w:t>
      </w:r>
      <w:r>
        <w:t xml:space="preserve"> R</w:t>
      </w:r>
      <w:r w:rsidRPr="00140E21">
        <w:t>equest for notification</w:t>
      </w:r>
      <w:r>
        <w:t>, MAC address or IP 3-tuple of Application server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36953A0F" w14:textId="77777777" w:rsidR="00135725" w:rsidRPr="00140E21" w:rsidRDefault="00135725" w:rsidP="00135725">
      <w:pPr>
        <w:pStyle w:val="B1"/>
      </w:pPr>
      <w:r w:rsidRPr="00140E21">
        <w:t>3</w:t>
      </w:r>
      <w:r w:rsidRPr="00140E21">
        <w:tab/>
        <w:t>The H-PCF may request from the UDR the stored</w:t>
      </w:r>
      <w:r>
        <w:t xml:space="preserve"> Background Data T</w:t>
      </w:r>
      <w:r w:rsidRPr="00140E21">
        <w:t>ransfer policies for all the ASPs using Nudr_DM_Query (Policy Data, Background Data Transfer) service operation.</w:t>
      </w:r>
    </w:p>
    <w:p w14:paraId="15E12BF8" w14:textId="77777777" w:rsidR="00135725" w:rsidRPr="00140E21" w:rsidRDefault="00135725" w:rsidP="00135725">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7A607D64" w14:textId="77777777" w:rsidR="00135725" w:rsidRPr="00140E21" w:rsidRDefault="00135725" w:rsidP="00135725">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62B75D49" w14:textId="77777777" w:rsidR="00135725" w:rsidRPr="00140E21" w:rsidRDefault="00135725" w:rsidP="00135725">
      <w:pPr>
        <w:pStyle w:val="B1"/>
      </w:pPr>
      <w:r w:rsidRPr="00140E21">
        <w:t>5.</w:t>
      </w:r>
      <w:r w:rsidRPr="00140E21">
        <w:tab/>
        <w:t xml:space="preserve">The H-PCF determines, based on information provided by the AF and other available information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p>
    <w:p w14:paraId="2F82B261" w14:textId="77777777" w:rsidR="00135725" w:rsidRPr="00140E21" w:rsidRDefault="00135725" w:rsidP="00135725">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44020C8E" w14:textId="77777777" w:rsidR="00135725" w:rsidRPr="00140E21" w:rsidRDefault="00135725" w:rsidP="00135725">
      <w:pPr>
        <w:pStyle w:val="NO"/>
      </w:pPr>
      <w:r w:rsidRPr="00140E21">
        <w:t>NOTE 3:</w:t>
      </w:r>
      <w:r w:rsidRPr="00140E21">
        <w:tab/>
        <w:t>The maximum aggregated bitrate is not enforced in the network.</w:t>
      </w:r>
    </w:p>
    <w:p w14:paraId="1DA86AD8" w14:textId="77777777" w:rsidR="00135725" w:rsidRPr="00140E21" w:rsidRDefault="00135725" w:rsidP="00135725">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6117B057" w14:textId="77777777" w:rsidR="00135725" w:rsidRPr="00140E21" w:rsidRDefault="00135725" w:rsidP="00135725">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64D4EB92" w14:textId="77777777" w:rsidR="00135725" w:rsidRPr="00140E21" w:rsidRDefault="00135725" w:rsidP="00135725">
      <w:pPr>
        <w:pStyle w:val="NO"/>
      </w:pPr>
      <w:r w:rsidRPr="00140E21">
        <w:t>NOTE 4:</w:t>
      </w:r>
      <w:r w:rsidRPr="00140E21">
        <w:tab/>
        <w:t xml:space="preserve">If the NEF receives only one </w:t>
      </w:r>
      <w:r>
        <w:t>Background Data T T</w:t>
      </w:r>
      <w:r w:rsidRPr="00140E21">
        <w:t>ransfer policy, the AF is not required to confirm.</w:t>
      </w:r>
    </w:p>
    <w:p w14:paraId="575E2471" w14:textId="77777777" w:rsidR="00135725" w:rsidRPr="00140E21" w:rsidRDefault="00135725" w:rsidP="00135725">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51A8EC2D" w14:textId="77777777" w:rsidR="00135725" w:rsidRPr="00140E21" w:rsidRDefault="00135725" w:rsidP="00135725">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58794E1E" w14:textId="77777777" w:rsidR="00135725" w:rsidRPr="00140E21" w:rsidRDefault="00135725" w:rsidP="00135725">
      <w:pPr>
        <w:pStyle w:val="B1"/>
      </w:pPr>
      <w:r w:rsidRPr="00140E21">
        <w:t>10.</w:t>
      </w:r>
      <w:r w:rsidRPr="00140E21">
        <w:tab/>
        <w:t>The H-PCF sends the acknowledge message to the NEF.</w:t>
      </w:r>
    </w:p>
    <w:p w14:paraId="40B6B196" w14:textId="77777777" w:rsidR="00135725" w:rsidRPr="00140E21" w:rsidRDefault="00135725" w:rsidP="00135725">
      <w:pPr>
        <w:pStyle w:val="B1"/>
      </w:pPr>
      <w:r w:rsidRPr="00140E21">
        <w:t>11.</w:t>
      </w:r>
      <w:r w:rsidRPr="00140E21">
        <w:tab/>
        <w:t>The NEF sends the acknowledge message to the AF.</w:t>
      </w:r>
    </w:p>
    <w:p w14:paraId="3BC7956B" w14:textId="16BFE630" w:rsidR="00135725" w:rsidRPr="00140E21" w:rsidRDefault="00135725" w:rsidP="00135725">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w:t>
      </w:r>
      <w:ins w:id="61" w:author="Samdanis" w:date="2024-10-04T16:56:00Z">
        <w:r>
          <w:t xml:space="preserve">expected energy KPI(s), </w:t>
        </w:r>
      </w:ins>
      <w:r>
        <w:t xml:space="preserve">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w:t>
      </w:r>
      <w:proofErr w:type="spellStart"/>
      <w:r w:rsidRPr="00140E21">
        <w:t>Nudr_DM_Update</w:t>
      </w:r>
      <w:proofErr w:type="spellEnd"/>
      <w:r w:rsidRPr="00140E21">
        <w:t xml:space="preserve"> (BDT Reference id, Policy Data, Background Data Transfer). This step is not executed, when the PCF decides to locally store the </w:t>
      </w:r>
      <w:r>
        <w:t>Background Data T</w:t>
      </w:r>
      <w:r w:rsidRPr="00140E21">
        <w:t>ransfer policy.</w:t>
      </w:r>
    </w:p>
    <w:p w14:paraId="72BC001C" w14:textId="77777777" w:rsidR="00135725" w:rsidRDefault="00135725" w:rsidP="00135725">
      <w:pPr>
        <w:pStyle w:val="B1"/>
      </w:pPr>
      <w:r w:rsidRPr="00140E21">
        <w:t>13.</w:t>
      </w:r>
      <w:r w:rsidRPr="00140E21">
        <w:tab/>
        <w:t>The UDR sends a response to the H-PCF as its acknowledgement.</w:t>
      </w:r>
    </w:p>
    <w:p w14:paraId="36F20C83" w14:textId="168DCC37" w:rsidR="00135725" w:rsidRPr="00140E21" w:rsidRDefault="00135725" w:rsidP="00135725">
      <w:pPr>
        <w:pStyle w:val="B1"/>
        <w:ind w:left="0" w:firstLine="0"/>
      </w:pPr>
    </w:p>
    <w:p w14:paraId="315D34FF" w14:textId="77777777" w:rsidR="00135725" w:rsidRPr="00140E21" w:rsidRDefault="00135725" w:rsidP="00135725">
      <w:pPr>
        <w:pStyle w:val="Heading4"/>
        <w:rPr>
          <w:lang w:eastAsia="zh-CN"/>
        </w:rPr>
      </w:pPr>
      <w:bookmarkStart w:id="62" w:name="_CR4_16_7_3"/>
      <w:bookmarkStart w:id="63" w:name="_Toc20204244"/>
      <w:bookmarkStart w:id="64" w:name="_Toc27894936"/>
      <w:bookmarkStart w:id="65" w:name="_Toc36192017"/>
      <w:bookmarkStart w:id="66" w:name="_Toc45193107"/>
      <w:bookmarkStart w:id="67" w:name="_Toc47592739"/>
      <w:bookmarkStart w:id="68" w:name="_Toc51834826"/>
      <w:bookmarkStart w:id="69" w:name="_Toc178071832"/>
      <w:bookmarkEnd w:id="62"/>
      <w:r w:rsidRPr="00140E21">
        <w:rPr>
          <w:lang w:eastAsia="zh-CN"/>
        </w:rPr>
        <w:lastRenderedPageBreak/>
        <w:t>4.16.7.3</w:t>
      </w:r>
      <w:r w:rsidRPr="00140E21">
        <w:rPr>
          <w:lang w:eastAsia="zh-CN"/>
        </w:rPr>
        <w:tab/>
        <w:t>Procedure for BDT warning notification</w:t>
      </w:r>
      <w:bookmarkEnd w:id="63"/>
      <w:bookmarkEnd w:id="64"/>
      <w:bookmarkEnd w:id="65"/>
      <w:bookmarkEnd w:id="66"/>
      <w:bookmarkEnd w:id="67"/>
      <w:bookmarkEnd w:id="68"/>
      <w:bookmarkEnd w:id="69"/>
    </w:p>
    <w:p w14:paraId="5FC6FA2B" w14:textId="77777777" w:rsidR="00135725" w:rsidRDefault="00135725" w:rsidP="00135725">
      <w:pPr>
        <w:pStyle w:val="TH"/>
        <w:rPr>
          <w:lang w:eastAsia="zh-CN"/>
        </w:rPr>
      </w:pPr>
      <w:r>
        <w:object w:dxaOrig="23161" w:dyaOrig="28771" w14:anchorId="314CE3F9">
          <v:shape id="_x0000_i1026" type="#_x0000_t75" style="width:415.85pt;height:517.8pt" o:ole="">
            <v:imagedata r:id="rId14" o:title=""/>
          </v:shape>
          <o:OLEObject Type="Embed" ProgID="Visio.Drawing.15" ShapeID="_x0000_i1026" DrawAspect="Content" ObjectID="_1789566500" r:id="rId15"/>
        </w:object>
      </w:r>
    </w:p>
    <w:p w14:paraId="6F783429" w14:textId="77777777" w:rsidR="00135725" w:rsidRPr="00140E21" w:rsidRDefault="00135725" w:rsidP="00135725">
      <w:pPr>
        <w:pStyle w:val="TF"/>
        <w:rPr>
          <w:lang w:eastAsia="zh-CN"/>
        </w:rPr>
      </w:pPr>
      <w:bookmarkStart w:id="70" w:name="_CRFigure4_16_7_31"/>
      <w:r w:rsidRPr="00140E21">
        <w:rPr>
          <w:lang w:eastAsia="zh-CN"/>
        </w:rPr>
        <w:t xml:space="preserve">Figure </w:t>
      </w:r>
      <w:bookmarkEnd w:id="70"/>
      <w:r w:rsidRPr="00140E21">
        <w:rPr>
          <w:lang w:eastAsia="zh-CN"/>
        </w:rPr>
        <w:t>4.16.7.3-1: The procedure for BDT warning notification</w:t>
      </w:r>
    </w:p>
    <w:p w14:paraId="7176025A" w14:textId="77777777" w:rsidR="00135725" w:rsidRPr="00140E21" w:rsidRDefault="00135725" w:rsidP="00135725">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r>
        <w:rPr>
          <w:lang w:eastAsia="zh-CN"/>
        </w:rPr>
        <w:t xml:space="preserve"> In addition, the PCF has subscribed to analytics on "Network Performance" from NWDAF for the area of interest and time window of a background data transfer policy following the procedure and services described in TS 23.288 [50], including a Reporting Threshold in the Analytics Reporting information. The value for Reporting Threshold is set by the PCF based on operator configuration.</w:t>
      </w:r>
    </w:p>
    <w:p w14:paraId="57452178" w14:textId="77777777" w:rsidR="00135725" w:rsidRDefault="00135725" w:rsidP="00135725">
      <w:pPr>
        <w:pStyle w:val="B1"/>
        <w:rPr>
          <w:ins w:id="71" w:author="Samdanis" w:date="2024-10-04T16:56:00Z"/>
          <w:lang w:eastAsia="zh-CN"/>
        </w:rPr>
      </w:pPr>
      <w:r w:rsidRPr="00140E21">
        <w:rPr>
          <w:lang w:eastAsia="zh-CN"/>
        </w:rPr>
        <w:t>2.</w:t>
      </w:r>
      <w:r w:rsidRPr="00140E21">
        <w:rPr>
          <w:lang w:eastAsia="zh-CN"/>
        </w:rPr>
        <w:tab/>
        <w:t xml:space="preserve">The PCF is notified </w:t>
      </w:r>
      <w:r>
        <w:rPr>
          <w:lang w:eastAsia="zh-CN"/>
        </w:rPr>
        <w:t xml:space="preserve">with </w:t>
      </w:r>
      <w:r w:rsidRPr="00140E21">
        <w:rPr>
          <w:lang w:eastAsia="zh-CN"/>
        </w:rPr>
        <w:t>the network performance</w:t>
      </w:r>
      <w:r>
        <w:rPr>
          <w:lang w:eastAsia="zh-CN"/>
        </w:rPr>
        <w:t xml:space="preserve"> analytics</w:t>
      </w:r>
      <w:r w:rsidRPr="00140E21">
        <w:rPr>
          <w:lang w:eastAsia="zh-CN"/>
        </w:rPr>
        <w:t xml:space="preserve"> </w:t>
      </w:r>
      <w:proofErr w:type="gramStart"/>
      <w:r w:rsidRPr="00140E21">
        <w:rPr>
          <w:lang w:eastAsia="zh-CN"/>
        </w:rPr>
        <w:t>in the area of</w:t>
      </w:r>
      <w:proofErr w:type="gramEnd"/>
      <w:r w:rsidRPr="00140E21">
        <w:rPr>
          <w:lang w:eastAsia="zh-CN"/>
        </w:rPr>
        <w:t xml:space="preserve"> interest from the NWDAF</w:t>
      </w:r>
      <w:r>
        <w:rPr>
          <w:lang w:eastAsia="zh-CN"/>
        </w:rPr>
        <w:t xml:space="preserve"> when the NWDAF determines that the network performance goes below the threshold</w:t>
      </w:r>
      <w:r w:rsidRPr="00140E21">
        <w:rPr>
          <w:lang w:eastAsia="zh-CN"/>
        </w:rPr>
        <w:t xml:space="preserve"> 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p>
    <w:p w14:paraId="4E8FA9A2" w14:textId="68010F95" w:rsidR="00135725" w:rsidRDefault="00135725" w:rsidP="00135725">
      <w:pPr>
        <w:pStyle w:val="B1"/>
        <w:rPr>
          <w:lang w:eastAsia="zh-CN"/>
        </w:rPr>
      </w:pPr>
      <w:ins w:id="72" w:author="Samdanis" w:date="2024-10-04T16:56:00Z">
        <w:r>
          <w:t>NOTE y:</w:t>
        </w:r>
        <w:r>
          <w:tab/>
          <w:t>The PCF is notified with energy related information for energy KPI(s) from an energy estimation network functionality, which is yet to be defined.</w:t>
        </w:r>
      </w:ins>
    </w:p>
    <w:p w14:paraId="1221CC4B" w14:textId="2B241148" w:rsidR="00135725" w:rsidRPr="00140E21" w:rsidRDefault="00135725" w:rsidP="00135725">
      <w:pPr>
        <w:pStyle w:val="B1"/>
        <w:rPr>
          <w:lang w:eastAsia="zh-CN"/>
        </w:rPr>
      </w:pPr>
      <w:r w:rsidRPr="00140E21">
        <w:rPr>
          <w:lang w:eastAsia="zh-CN"/>
        </w:rPr>
        <w:lastRenderedPageBreak/>
        <w:t>3.</w:t>
      </w:r>
      <w:r w:rsidRPr="00140E21">
        <w:rPr>
          <w:lang w:eastAsia="zh-CN"/>
        </w:rPr>
        <w:tab/>
        <w:t>The H-PCF may request from the UDR the stored</w:t>
      </w:r>
      <w:r>
        <w:rPr>
          <w:lang w:eastAsia="zh-CN"/>
        </w:rPr>
        <w:t xml:space="preserve"> BDT</w:t>
      </w:r>
      <w:r w:rsidRPr="00140E21">
        <w:rPr>
          <w:lang w:eastAsia="zh-CN"/>
        </w:rPr>
        <w:t xml:space="preserve"> policies using Nudr_DM_Query (Policy Data, Background Data Transfer) service operation</w:t>
      </w:r>
      <w:r>
        <w:rPr>
          <w:lang w:eastAsia="zh-CN"/>
        </w:rPr>
        <w:t>.</w:t>
      </w:r>
    </w:p>
    <w:p w14:paraId="35A7089A" w14:textId="77777777" w:rsidR="00135725" w:rsidRDefault="00135725" w:rsidP="00135725">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of TS 23.503 [20])</w:t>
      </w:r>
      <w:r w:rsidRPr="00140E21">
        <w:rPr>
          <w:lang w:eastAsia="zh-CN"/>
        </w:rPr>
        <w:t xml:space="preserve"> to the H-PCF.</w:t>
      </w:r>
    </w:p>
    <w:p w14:paraId="6401CDFD" w14:textId="77777777" w:rsidR="00135725" w:rsidRDefault="00135725" w:rsidP="00135725">
      <w:pPr>
        <w:pStyle w:val="B1"/>
        <w:rPr>
          <w:lang w:eastAsia="zh-CN"/>
        </w:rPr>
      </w:pPr>
      <w:r>
        <w:rPr>
          <w:lang w:eastAsia="zh-CN"/>
        </w:rPr>
        <w:t>5.</w:t>
      </w:r>
      <w:r>
        <w:rPr>
          <w:lang w:eastAsia="zh-CN"/>
        </w:rPr>
        <w:tab/>
      </w:r>
      <w:r w:rsidRPr="00140E21">
        <w:rPr>
          <w:lang w:eastAsia="zh-CN"/>
        </w:rPr>
        <w:t>The H-PCF</w:t>
      </w:r>
      <w:r>
        <w:rPr>
          <w:lang w:eastAsia="zh-CN"/>
        </w:rPr>
        <w:t xml:space="preserve"> identifies the BDT policies affected by the notification received from NWDAF. For each of them, the H-PCF</w:t>
      </w:r>
      <w:r w:rsidRPr="00140E21">
        <w:rPr>
          <w:lang w:eastAsia="zh-CN"/>
        </w:rPr>
        <w:t xml:space="preserve"> determines the ASP of which the background traffic will be influenced by the degradation of network </w:t>
      </w:r>
      <w:proofErr w:type="gramStart"/>
      <w:r w:rsidRPr="00140E21">
        <w:rPr>
          <w:lang w:eastAsia="zh-CN"/>
        </w:rPr>
        <w:t>performance</w:t>
      </w:r>
      <w:proofErr w:type="gramEnd"/>
      <w:r w:rsidRPr="00140E21">
        <w:rPr>
          <w:lang w:eastAsia="zh-CN"/>
        </w:rPr>
        <w:t xml:space="preserve"> and which requested the H-PCF to send the notification.</w:t>
      </w:r>
      <w:r>
        <w:rPr>
          <w:lang w:eastAsia="zh-CN"/>
        </w:rPr>
        <w:t xml:space="preserve"> The PCF then performs the following steps for each of the determined ASPs, i.e. Steps 6 - 16 can occur multiple times (i.e. once per ASP).</w:t>
      </w:r>
    </w:p>
    <w:p w14:paraId="34485F24" w14:textId="77777777" w:rsidR="00135725" w:rsidRDefault="00135725" w:rsidP="00135725">
      <w:pPr>
        <w:pStyle w:val="B1"/>
        <w:rPr>
          <w:lang w:eastAsia="zh-CN"/>
        </w:rPr>
      </w:pPr>
      <w:r>
        <w:rPr>
          <w:lang w:eastAsia="zh-CN"/>
        </w:rPr>
        <w:t>6.</w:t>
      </w:r>
      <w:r>
        <w:rPr>
          <w:lang w:eastAsia="zh-CN"/>
        </w:rPr>
        <w:tab/>
        <w:t>The PCF decides based on operator policies, whether a new list of candidate Background Data Transfer policies can be calculated for the ASP. If the PCF does not find any new candidate BDT policy, the previously negotiated BDT policy shall be kept, no interaction with that ASP shall occur and the procedure stops for that BDT policy.</w:t>
      </w:r>
    </w:p>
    <w:p w14:paraId="5776C80F" w14:textId="77777777" w:rsidR="00135725" w:rsidRDefault="00135725" w:rsidP="00135725">
      <w:pPr>
        <w:pStyle w:val="NO"/>
      </w:pPr>
      <w:r>
        <w:t>NOTE 1:</w:t>
      </w:r>
      <w:r>
        <w:tab/>
        <w:t>The BDT policies of an ASP which did not request to be notified are kept and no interaction with this ASP occurs.</w:t>
      </w:r>
    </w:p>
    <w:p w14:paraId="02E5DB71" w14:textId="77777777" w:rsidR="00135725" w:rsidRPr="00140E21" w:rsidRDefault="00135725" w:rsidP="00135725">
      <w:pPr>
        <w:pStyle w:val="B1"/>
        <w:rPr>
          <w:lang w:eastAsia="zh-CN"/>
        </w:rPr>
      </w:pPr>
      <w:r>
        <w:rPr>
          <w:lang w:eastAsia="zh-CN"/>
        </w:rPr>
        <w:t>7.</w:t>
      </w:r>
      <w:r>
        <w:rPr>
          <w:lang w:eastAsia="zh-CN"/>
        </w:rPr>
        <w:tab/>
        <w:t xml:space="preserve">The PCF sets the no longer valid BDT policy in the UDR as invalidated by invoking </w:t>
      </w:r>
      <w:proofErr w:type="spellStart"/>
      <w:r>
        <w:rPr>
          <w:lang w:eastAsia="zh-CN"/>
        </w:rPr>
        <w:t>Nudr_DM_Update</w:t>
      </w:r>
      <w:proofErr w:type="spellEnd"/>
      <w:r>
        <w:rPr>
          <w:lang w:eastAsia="zh-CN"/>
        </w:rPr>
        <w:t xml:space="preserve"> (Background Data Transfer Reference ID, invalidation flag) service.</w:t>
      </w:r>
    </w:p>
    <w:p w14:paraId="4720386B" w14:textId="77777777" w:rsidR="00135725" w:rsidRDefault="00135725" w:rsidP="00135725">
      <w:pPr>
        <w:pStyle w:val="NO"/>
      </w:pPr>
      <w:r>
        <w:t>NOTE 2:</w:t>
      </w:r>
      <w:r>
        <w:tab/>
        <w:t>The BDT policies that are applicable for future sessions are checked by the PCF in step 6.</w:t>
      </w:r>
    </w:p>
    <w:p w14:paraId="3A214DD2" w14:textId="77777777" w:rsidR="00135725" w:rsidRDefault="00135725" w:rsidP="00135725">
      <w:pPr>
        <w:pStyle w:val="B1"/>
        <w:rPr>
          <w:lang w:eastAsia="zh-CN"/>
        </w:rPr>
      </w:pPr>
      <w:r>
        <w:rPr>
          <w:lang w:eastAsia="zh-CN"/>
        </w:rPr>
        <w:t>8.</w:t>
      </w:r>
      <w:r>
        <w:rPr>
          <w:lang w:eastAsia="zh-CN"/>
        </w:rPr>
        <w:tab/>
        <w:t>The UDR sends a response to the H-PCF as acknowledgement.</w:t>
      </w:r>
    </w:p>
    <w:p w14:paraId="2AB33FD1" w14:textId="77777777" w:rsidR="00135725" w:rsidRPr="00140E21" w:rsidRDefault="00135725" w:rsidP="00135725">
      <w:pPr>
        <w:pStyle w:val="B1"/>
        <w:rPr>
          <w:lang w:eastAsia="zh-CN"/>
        </w:rPr>
      </w:pPr>
      <w:r>
        <w:rPr>
          <w:lang w:eastAsia="zh-CN"/>
        </w:rPr>
        <w:t>9</w:t>
      </w:r>
      <w:r w:rsidRPr="00140E21">
        <w:rPr>
          <w:lang w:eastAsia="zh-CN"/>
        </w:rPr>
        <w:t>.</w:t>
      </w:r>
      <w:r w:rsidRPr="00140E21">
        <w:rPr>
          <w:lang w:eastAsia="zh-CN"/>
        </w:rPr>
        <w:tab/>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39A3F630" w14:textId="77777777" w:rsidR="00135725" w:rsidRPr="00140E21" w:rsidRDefault="00135725" w:rsidP="00135725">
      <w:pPr>
        <w:pStyle w:val="B1"/>
        <w:rPr>
          <w:lang w:eastAsia="zh-CN"/>
        </w:rPr>
      </w:pPr>
      <w:r>
        <w:rPr>
          <w:lang w:eastAsia="zh-CN"/>
        </w:rPr>
        <w:t>10</w:t>
      </w:r>
      <w:r w:rsidRPr="00140E21">
        <w:rPr>
          <w:lang w:eastAsia="zh-CN"/>
        </w:rPr>
        <w:t>.</w:t>
      </w:r>
      <w:r w:rsidRPr="00140E21">
        <w:rPr>
          <w:lang w:eastAsia="zh-CN"/>
        </w:rPr>
        <w:tab/>
        <w:t xml:space="preserve">The NEF </w:t>
      </w:r>
      <w:r>
        <w:rPr>
          <w:lang w:eastAsia="zh-CN"/>
        </w:rPr>
        <w:t xml:space="preserve">sends the BDT warning notification to </w:t>
      </w:r>
      <w:r w:rsidRPr="00140E21">
        <w:rPr>
          <w:lang w:eastAsia="zh-CN"/>
        </w:rPr>
        <w:t xml:space="preserve">the AF by invoking </w:t>
      </w:r>
      <w:proofErr w:type="spellStart"/>
      <w:r w:rsidRPr="00140E21">
        <w:rPr>
          <w:lang w:eastAsia="zh-CN"/>
        </w:rPr>
        <w:t>Nnef_BDTPNegotiation_Notify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6228714B" w14:textId="77777777" w:rsidR="00135725" w:rsidRDefault="00135725" w:rsidP="00135725">
      <w:pPr>
        <w:pStyle w:val="B1"/>
        <w:rPr>
          <w:lang w:eastAsia="zh-CN"/>
        </w:rPr>
      </w:pPr>
      <w:r>
        <w:rPr>
          <w:lang w:eastAsia="zh-CN"/>
        </w:rPr>
        <w:t>11.</w:t>
      </w:r>
      <w:r>
        <w:rPr>
          <w:lang w:eastAsia="zh-CN"/>
        </w:rPr>
        <w:tab/>
        <w:t>The AF checks the new Background Data Transfer policies included in the candidate list in the BDT warning notification.</w:t>
      </w:r>
    </w:p>
    <w:p w14:paraId="448F2CA1" w14:textId="77777777" w:rsidR="00135725" w:rsidRDefault="00135725" w:rsidP="00135725">
      <w:pPr>
        <w:pStyle w:val="B1"/>
        <w:rPr>
          <w:lang w:eastAsia="zh-CN"/>
        </w:rPr>
      </w:pPr>
      <w:r>
        <w:rPr>
          <w:lang w:eastAsia="zh-CN"/>
        </w:rPr>
        <w:t>12.</w:t>
      </w:r>
      <w:r>
        <w:rPr>
          <w:lang w:eastAsia="zh-CN"/>
        </w:rPr>
        <w:tab/>
        <w:t>If the AF selects any of the new Background Data Transfer policies, the steps 8-13 from clause 4.16.7.2 are executed.</w:t>
      </w:r>
    </w:p>
    <w:p w14:paraId="43AFE2EC" w14:textId="77777777" w:rsidR="00135725" w:rsidRDefault="00135725" w:rsidP="00135725">
      <w:pPr>
        <w:pStyle w:val="B1"/>
        <w:rPr>
          <w:lang w:eastAsia="zh-CN"/>
        </w:rPr>
      </w:pPr>
      <w:r>
        <w:rPr>
          <w:lang w:eastAsia="zh-CN"/>
        </w:rPr>
        <w:t>13.</w:t>
      </w:r>
      <w:r>
        <w:rPr>
          <w:lang w:eastAsia="zh-CN"/>
        </w:rPr>
        <w:tab/>
        <w:t>If the AF doesn't select any of the new Background Data Transfer policies, the steps 8-11 from clause 4.16.7.2 are executed, with the AF indicating that none of the candidate Background Data Transfer policies is acceptable.</w:t>
      </w:r>
    </w:p>
    <w:p w14:paraId="4DA147AF" w14:textId="77777777" w:rsidR="00135725" w:rsidRDefault="00135725" w:rsidP="00135725">
      <w:pPr>
        <w:pStyle w:val="B1"/>
        <w:rPr>
          <w:lang w:eastAsia="zh-CN"/>
        </w:rPr>
      </w:pPr>
      <w:r>
        <w:rPr>
          <w:lang w:eastAsia="zh-CN"/>
        </w:rPr>
        <w:t>14.-15.</w:t>
      </w:r>
      <w:r>
        <w:rPr>
          <w:lang w:eastAsia="zh-CN"/>
        </w:rPr>
        <w:tab/>
        <w:t>If the step 13 is executed, the PCF removes the no longer valid BDT policy from UDR for the corresponding Background Data Transfer Reference ID.</w:t>
      </w:r>
    </w:p>
    <w:p w14:paraId="3F47D725" w14:textId="77777777" w:rsidR="00135725" w:rsidRDefault="00135725" w:rsidP="00135725">
      <w:pPr>
        <w:pStyle w:val="NO"/>
      </w:pPr>
      <w:r>
        <w:t>NOTE 3:</w:t>
      </w:r>
      <w:r>
        <w:tab/>
        <w:t>The PCF can also remove the no longer valid BDT policy after an operator configurable time for the case that the AF does not respond.</w:t>
      </w:r>
    </w:p>
    <w:p w14:paraId="421586B9" w14:textId="77777777" w:rsidR="00135725" w:rsidRDefault="00135725" w:rsidP="00135725">
      <w:pPr>
        <w:pStyle w:val="B1"/>
        <w:rPr>
          <w:lang w:eastAsia="zh-CN"/>
        </w:rPr>
      </w:pPr>
      <w:r>
        <w:rPr>
          <w:lang w:eastAsia="zh-CN"/>
        </w:rPr>
        <w:t>16.</w:t>
      </w:r>
      <w:r>
        <w:rPr>
          <w:lang w:eastAsia="zh-CN"/>
        </w:rPr>
        <w:tab/>
        <w:t>If there is a new Background Data Transfer policy stored in the UDR or a BDT policy removed from the UDR, the PCFs are notified by the UDR accordingly. The PCFs check if the corresponding URSP rules need to be updated or removed and if so, use the procedure defined in clause 4.16.12.2 to update URSP rules for the relevant UEs.</w:t>
      </w:r>
    </w:p>
    <w:p w14:paraId="4EDE50B5" w14:textId="77777777" w:rsidR="00135725" w:rsidRPr="00140E21" w:rsidRDefault="00135725" w:rsidP="00135725">
      <w:pPr>
        <w:rPr>
          <w:lang w:eastAsia="zh-CN"/>
        </w:rPr>
      </w:pPr>
      <w:r w:rsidRPr="00140E21">
        <w:rPr>
          <w:lang w:eastAsia="zh-CN"/>
        </w:rPr>
        <w:t xml:space="preserve">The AF can send </w:t>
      </w:r>
      <w:r>
        <w:rPr>
          <w:lang w:eastAsia="zh-CN"/>
        </w:rPr>
        <w:t xml:space="preserve">a Stop </w:t>
      </w:r>
      <w:r w:rsidRPr="00140E21">
        <w:rPr>
          <w:lang w:eastAsia="zh-CN"/>
        </w:rPr>
        <w:t xml:space="preserve">notification by invoking </w:t>
      </w:r>
      <w:proofErr w:type="spellStart"/>
      <w:r w:rsidRPr="00140E21">
        <w:rPr>
          <w:lang w:eastAsia="zh-CN"/>
        </w:rPr>
        <w:t>Nnef_BDTPNegotiation_Update</w:t>
      </w:r>
      <w:proofErr w:type="spellEnd"/>
      <w:r w:rsidRPr="00140E21">
        <w:rPr>
          <w:lang w:eastAsia="zh-CN"/>
        </w:rPr>
        <w:t xml:space="preserve"> </w:t>
      </w:r>
      <w:proofErr w:type="gramStart"/>
      <w:r w:rsidRPr="00140E21">
        <w:rPr>
          <w:lang w:eastAsia="zh-CN"/>
        </w:rPr>
        <w:t>service, when</w:t>
      </w:r>
      <w:proofErr w:type="gramEnd"/>
      <w:r w:rsidRPr="00140E21">
        <w:rPr>
          <w:lang w:eastAsia="zh-CN"/>
        </w:rPr>
        <w:t xml:space="preserve"> the AF requests not to receive the</w:t>
      </w:r>
      <w:r>
        <w:rPr>
          <w:lang w:eastAsia="zh-CN"/>
        </w:rPr>
        <w:t xml:space="preserve"> BDT warning</w:t>
      </w:r>
      <w:r w:rsidRPr="00140E21">
        <w:rPr>
          <w:lang w:eastAsia="zh-CN"/>
        </w:rPr>
        <w:t xml:space="preserve"> notification anymore. Then, the NEF invokes </w:t>
      </w:r>
      <w:proofErr w:type="spellStart"/>
      <w:r w:rsidRPr="00140E21">
        <w:rPr>
          <w:lang w:eastAsia="zh-CN"/>
        </w:rPr>
        <w:t>Npcf_BDTPolicyControl_Update</w:t>
      </w:r>
      <w:proofErr w:type="spellEnd"/>
      <w:r w:rsidRPr="00140E21">
        <w:rPr>
          <w:lang w:eastAsia="zh-CN"/>
        </w:rPr>
        <w:t xml:space="preserve"> service </w:t>
      </w:r>
      <w:proofErr w:type="gramStart"/>
      <w:r w:rsidRPr="00140E21">
        <w:rPr>
          <w:lang w:eastAsia="zh-CN"/>
        </w:rPr>
        <w:t>in order to</w:t>
      </w:r>
      <w:proofErr w:type="gramEnd"/>
      <w:r w:rsidRPr="00140E21">
        <w:rPr>
          <w:lang w:eastAsia="zh-CN"/>
        </w:rPr>
        <w:t xml:space="preserve"> provide this information for the H-PCF.</w:t>
      </w:r>
    </w:p>
    <w:p w14:paraId="41CB0001" w14:textId="77777777" w:rsidR="00135725" w:rsidRDefault="00135725" w:rsidP="00135725">
      <w:pPr>
        <w:pStyle w:val="StartEndofChange"/>
      </w:pPr>
      <w:bookmarkStart w:id="73" w:name="_CR5_2_5_5_1"/>
      <w:bookmarkStart w:id="74" w:name="_CR5_2_5_5_2"/>
      <w:bookmarkStart w:id="75" w:name="_CR5_2_5_5_3"/>
      <w:bookmarkStart w:id="76" w:name="_CR5_2_5_5_4"/>
      <w:bookmarkStart w:id="77" w:name="_CR6_2_6_1"/>
      <w:bookmarkStart w:id="78" w:name="_Hlk12366759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73"/>
      <w:bookmarkEnd w:id="74"/>
      <w:bookmarkEnd w:id="75"/>
      <w:bookmarkEnd w:id="76"/>
      <w:bookmarkEnd w:id="77"/>
      <w:r>
        <w:rPr>
          <w:rFonts w:hint="eastAsia"/>
        </w:rPr>
        <w:t xml:space="preserve">* </w:t>
      </w:r>
      <w:r>
        <w:t xml:space="preserve">* * * End </w:t>
      </w:r>
      <w:bookmarkEnd w:id="78"/>
      <w:r>
        <w:t>of</w:t>
      </w:r>
      <w:r>
        <w:rPr>
          <w:rFonts w:hint="eastAsia"/>
        </w:rPr>
        <w:t xml:space="preserve"> </w:t>
      </w:r>
      <w:r>
        <w:t xml:space="preserve">Change * * * * </w:t>
      </w:r>
    </w:p>
    <w:p w14:paraId="23CBEE72" w14:textId="77777777" w:rsidR="00135725" w:rsidRPr="00AA1888" w:rsidRDefault="00135725" w:rsidP="00135725">
      <w:pPr>
        <w:rPr>
          <w:noProof/>
          <w:lang w:val="en-US"/>
        </w:rPr>
      </w:pPr>
    </w:p>
    <w:p w14:paraId="61875B36" w14:textId="77777777" w:rsidR="00135725" w:rsidRPr="00056F58" w:rsidRDefault="00135725" w:rsidP="00135725">
      <w:pPr>
        <w:rPr>
          <w:noProof/>
          <w:lang w:val="en-US"/>
        </w:rPr>
      </w:pPr>
    </w:p>
    <w:p w14:paraId="20C3119E" w14:textId="77777777" w:rsidR="00135725" w:rsidRDefault="00135725" w:rsidP="00135725">
      <w:pPr>
        <w:rPr>
          <w:noProof/>
        </w:rPr>
      </w:pPr>
    </w:p>
    <w:p w14:paraId="68C9CD36" w14:textId="77777777" w:rsidR="001E41F3" w:rsidRDefault="001E41F3">
      <w:pPr>
        <w:rPr>
          <w:noProof/>
        </w:rPr>
      </w:pPr>
    </w:p>
    <w:sectPr w:rsidR="001E41F3" w:rsidSect="001357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BA4AE" w14:textId="77777777" w:rsidR="00AE5F44" w:rsidRDefault="00AE5F44">
      <w:r>
        <w:separator/>
      </w:r>
    </w:p>
  </w:endnote>
  <w:endnote w:type="continuationSeparator" w:id="0">
    <w:p w14:paraId="0A0E462F" w14:textId="77777777" w:rsidR="00AE5F44" w:rsidRDefault="00AE5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7D584" w14:textId="77777777" w:rsidR="00AE5F44" w:rsidRDefault="00AE5F44">
      <w:r>
        <w:separator/>
      </w:r>
    </w:p>
  </w:footnote>
  <w:footnote w:type="continuationSeparator" w:id="0">
    <w:p w14:paraId="50AB5CDD" w14:textId="77777777" w:rsidR="00AE5F44" w:rsidRDefault="00AE5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79C8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A647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5FAA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danis">
    <w15:presenceInfo w15:providerId="None" w15:userId="Samdan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72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244A"/>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5F44"/>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135725"/>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135725"/>
    <w:rPr>
      <w:rFonts w:ascii="Times New Roman" w:hAnsi="Times New Roman"/>
      <w:lang w:val="en-GB" w:eastAsia="en-US"/>
    </w:rPr>
  </w:style>
  <w:style w:type="character" w:customStyle="1" w:styleId="B1Char">
    <w:name w:val="B1 Char"/>
    <w:link w:val="B1"/>
    <w:rsid w:val="00135725"/>
    <w:rPr>
      <w:rFonts w:ascii="Times New Roman" w:hAnsi="Times New Roman"/>
      <w:lang w:val="en-GB" w:eastAsia="en-US"/>
    </w:rPr>
  </w:style>
  <w:style w:type="character" w:customStyle="1" w:styleId="THChar">
    <w:name w:val="TH Char"/>
    <w:link w:val="TH"/>
    <w:qFormat/>
    <w:rsid w:val="00135725"/>
    <w:rPr>
      <w:rFonts w:ascii="Arial" w:hAnsi="Arial"/>
      <w:b/>
      <w:lang w:val="en-GB" w:eastAsia="en-US"/>
    </w:rPr>
  </w:style>
  <w:style w:type="character" w:customStyle="1" w:styleId="TFChar">
    <w:name w:val="TF Char"/>
    <w:link w:val="TF"/>
    <w:rsid w:val="00135725"/>
    <w:rPr>
      <w:rFonts w:ascii="Arial" w:hAnsi="Arial"/>
      <w:b/>
      <w:lang w:val="en-GB" w:eastAsia="en-US"/>
    </w:rPr>
  </w:style>
  <w:style w:type="paragraph" w:styleId="Revision">
    <w:name w:val="Revision"/>
    <w:hidden/>
    <w:uiPriority w:val="99"/>
    <w:semiHidden/>
    <w:rsid w:val="001357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6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1972</Words>
  <Characters>11245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Samdanis</cp:lastModifiedBy>
  <cp:revision>2</cp:revision>
  <cp:lastPrinted>1899-12-31T23:00:00Z</cp:lastPrinted>
  <dcterms:created xsi:type="dcterms:W3CDTF">2024-10-04T15:02:00Z</dcterms:created>
  <dcterms:modified xsi:type="dcterms:W3CDTF">2024-10-04T15:02:00Z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S2-2410515</vt:lpwstr>
  </property>
  <property fmtid="{D5CDD505-2E9C-101B-9397-08002B2CF9AE}" pid="10" name="Spec#">
    <vt:lpwstr>23.502</vt:lpwstr>
  </property>
  <property fmtid="{D5CDD505-2E9C-101B-9397-08002B2CF9AE}" pid="11" name="Cr#">
    <vt:lpwstr>5110</vt:lpwstr>
  </property>
  <property fmtid="{D5CDD505-2E9C-101B-9397-08002B2CF9AE}" pid="12" name="Revision">
    <vt:lpwstr>-</vt:lpwstr>
  </property>
  <property fmtid="{D5CDD505-2E9C-101B-9397-08002B2CF9AE}" pid="13" name="Version">
    <vt:lpwstr>19.1.0</vt:lpwstr>
  </property>
  <property fmtid="{D5CDD505-2E9C-101B-9397-08002B2CF9AE}" pid="14" name="CrTitle">
    <vt:lpwstr>BDT Energy Negotiation Procedures </vt:lpwstr>
  </property>
  <property fmtid="{D5CDD505-2E9C-101B-9397-08002B2CF9AE}" pid="15" name="SourceIfWg">
    <vt:lpwstr>Motorola Mobile Com Technology</vt:lpwstr>
  </property>
  <property fmtid="{D5CDD505-2E9C-101B-9397-08002B2CF9AE}" pid="16" name="SourceIfTsg">
    <vt:lpwstr/>
  </property>
  <property fmtid="{D5CDD505-2E9C-101B-9397-08002B2CF9AE}" pid="17" name="RelatedWis">
    <vt:lpwstr>EnergyServ</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